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154" w:rsidRDefault="001C5154" w:rsidP="001C5154">
      <w:pPr>
        <w:snapToGrid w:val="0"/>
        <w:jc w:val="center"/>
        <w:rPr>
          <w:rFonts w:eastAsia="標楷體"/>
          <w:b/>
          <w:sz w:val="36"/>
          <w:szCs w:val="36"/>
        </w:rPr>
      </w:pPr>
    </w:p>
    <w:p w:rsidR="001C5154" w:rsidRDefault="001C5154" w:rsidP="001C5154">
      <w:pPr>
        <w:snapToGrid w:val="0"/>
        <w:jc w:val="center"/>
        <w:rPr>
          <w:rFonts w:eastAsia="標楷體"/>
          <w:b/>
          <w:sz w:val="36"/>
          <w:szCs w:val="36"/>
        </w:rPr>
      </w:pPr>
      <w:r>
        <w:rPr>
          <w:rFonts w:eastAsia="標楷體"/>
          <w:b/>
          <w:sz w:val="36"/>
          <w:szCs w:val="36"/>
        </w:rPr>
        <w:t>11</w:t>
      </w:r>
      <w:r w:rsidR="003776B6">
        <w:rPr>
          <w:rFonts w:eastAsia="標楷體" w:hint="eastAsia"/>
          <w:b/>
          <w:sz w:val="36"/>
          <w:szCs w:val="36"/>
        </w:rPr>
        <w:t>2</w:t>
      </w:r>
      <w:r>
        <w:rPr>
          <w:rFonts w:eastAsia="標楷體"/>
          <w:b/>
          <w:sz w:val="36"/>
          <w:szCs w:val="36"/>
        </w:rPr>
        <w:t>年全國夏季學院校際選課合作協議書</w:t>
      </w:r>
    </w:p>
    <w:p w:rsidR="001C5154" w:rsidRDefault="001C5154" w:rsidP="001C5154">
      <w:pPr>
        <w:jc w:val="right"/>
      </w:pPr>
      <w:r>
        <w:rPr>
          <w:rFonts w:eastAsia="標楷體"/>
        </w:rPr>
        <w:tab/>
      </w:r>
    </w:p>
    <w:p w:rsidR="001C5154" w:rsidRDefault="001C5154" w:rsidP="001C5154">
      <w:pPr>
        <w:numPr>
          <w:ilvl w:val="0"/>
          <w:numId w:val="1"/>
        </w:numPr>
        <w:tabs>
          <w:tab w:val="left" w:pos="720"/>
        </w:tabs>
        <w:snapToGrid w:val="0"/>
        <w:spacing w:before="180" w:line="480" w:lineRule="exact"/>
        <w:ind w:left="720"/>
        <w:rPr>
          <w:rFonts w:eastAsia="標楷體"/>
          <w:szCs w:val="24"/>
        </w:rPr>
      </w:pPr>
      <w:r>
        <w:rPr>
          <w:rFonts w:eastAsia="標楷體"/>
          <w:szCs w:val="24"/>
        </w:rPr>
        <w:t>國立臺灣大學全國夏季學院茲依大學法施行細則第二十五條及本計畫全國夏季學院課程實施要點訂定本協議。</w:t>
      </w:r>
    </w:p>
    <w:p w:rsidR="001C5154" w:rsidRDefault="001C5154" w:rsidP="001C5154">
      <w:pPr>
        <w:numPr>
          <w:ilvl w:val="0"/>
          <w:numId w:val="1"/>
        </w:numPr>
        <w:tabs>
          <w:tab w:val="left" w:pos="720"/>
        </w:tabs>
        <w:snapToGrid w:val="0"/>
        <w:spacing w:before="180" w:line="480" w:lineRule="exact"/>
        <w:ind w:left="720"/>
        <w:rPr>
          <w:rFonts w:eastAsia="標楷體"/>
          <w:szCs w:val="24"/>
        </w:rPr>
      </w:pPr>
      <w:r>
        <w:rPr>
          <w:rFonts w:eastAsia="標楷體"/>
          <w:szCs w:val="24"/>
        </w:rPr>
        <w:t>選課對象以全國大專校院在學學生、</w:t>
      </w:r>
      <w:proofErr w:type="gramStart"/>
      <w:r>
        <w:rPr>
          <w:rFonts w:eastAsia="標楷體"/>
          <w:szCs w:val="24"/>
        </w:rPr>
        <w:t>準</w:t>
      </w:r>
      <w:proofErr w:type="gramEnd"/>
      <w:r>
        <w:rPr>
          <w:rFonts w:eastAsia="標楷體"/>
          <w:szCs w:val="24"/>
        </w:rPr>
        <w:t>大一新生及高中生為原則，以每年全國夏季學院審核通過所開之課程為範圍，得設立各課程修課人數之上限，並以非課程開設學校學生修課人數達班級</w:t>
      </w:r>
      <w:proofErr w:type="gramStart"/>
      <w:r>
        <w:rPr>
          <w:rFonts w:eastAsia="標楷體"/>
          <w:szCs w:val="24"/>
        </w:rPr>
        <w:t>修課總人</w:t>
      </w:r>
      <w:proofErr w:type="gramEnd"/>
      <w:r>
        <w:rPr>
          <w:rFonts w:eastAsia="標楷體"/>
          <w:szCs w:val="24"/>
        </w:rPr>
        <w:t>數百分之五十以上為原則。</w:t>
      </w:r>
    </w:p>
    <w:p w:rsidR="001C5154" w:rsidRDefault="001C5154" w:rsidP="001C5154">
      <w:pPr>
        <w:numPr>
          <w:ilvl w:val="0"/>
          <w:numId w:val="1"/>
        </w:numPr>
        <w:tabs>
          <w:tab w:val="left" w:pos="720"/>
        </w:tabs>
        <w:snapToGrid w:val="0"/>
        <w:spacing w:before="180" w:line="480" w:lineRule="exact"/>
        <w:ind w:left="720"/>
        <w:rPr>
          <w:rFonts w:eastAsia="標楷體"/>
          <w:szCs w:val="24"/>
        </w:rPr>
      </w:pPr>
      <w:r>
        <w:rPr>
          <w:rFonts w:eastAsia="標楷體"/>
          <w:szCs w:val="24"/>
        </w:rPr>
        <w:t>學生應遵照全國夏季學院學生報名須知辦理選課事宜，並遵守相關規定。</w:t>
      </w:r>
      <w:r w:rsidR="00B64691">
        <w:rPr>
          <w:rFonts w:eastAsia="標楷體" w:hint="eastAsia"/>
          <w:szCs w:val="24"/>
        </w:rPr>
        <w:t xml:space="preserve"> </w:t>
      </w:r>
    </w:p>
    <w:p w:rsidR="001C5154" w:rsidRDefault="001C5154" w:rsidP="001C5154">
      <w:pPr>
        <w:numPr>
          <w:ilvl w:val="0"/>
          <w:numId w:val="1"/>
        </w:numPr>
        <w:tabs>
          <w:tab w:val="left" w:pos="720"/>
        </w:tabs>
        <w:snapToGrid w:val="0"/>
        <w:spacing w:before="180" w:line="480" w:lineRule="exact"/>
        <w:ind w:left="720"/>
        <w:rPr>
          <w:rFonts w:eastAsia="標楷體"/>
          <w:szCs w:val="24"/>
        </w:rPr>
      </w:pPr>
      <w:r>
        <w:rPr>
          <w:rFonts w:eastAsia="標楷體"/>
          <w:szCs w:val="24"/>
        </w:rPr>
        <w:t>課程結束</w:t>
      </w:r>
      <w:r>
        <w:rPr>
          <w:rFonts w:eastAsia="標楷體"/>
          <w:szCs w:val="24"/>
        </w:rPr>
        <w:t>1</w:t>
      </w:r>
      <w:r>
        <w:rPr>
          <w:rFonts w:eastAsia="標楷體"/>
          <w:szCs w:val="24"/>
        </w:rPr>
        <w:t>個月內全國夏季學院將成績表分送學生原肄業學校查考，學生所修之實體及同步遠距學分，是否計入通識學分、選修學分或畢業學分，依原肄業學校規定辦理。課程結束</w:t>
      </w:r>
      <w:r>
        <w:rPr>
          <w:rFonts w:eastAsia="標楷體"/>
          <w:szCs w:val="24"/>
        </w:rPr>
        <w:t>2</w:t>
      </w:r>
      <w:proofErr w:type="gramStart"/>
      <w:r>
        <w:rPr>
          <w:rFonts w:eastAsia="標楷體"/>
          <w:szCs w:val="24"/>
        </w:rPr>
        <w:t>週</w:t>
      </w:r>
      <w:proofErr w:type="gramEnd"/>
      <w:r>
        <w:rPr>
          <w:rFonts w:eastAsia="標楷體"/>
          <w:szCs w:val="24"/>
        </w:rPr>
        <w:t>後，修課學生可向全國夏季學院申請核發學分修畢證明。</w:t>
      </w:r>
    </w:p>
    <w:p w:rsidR="001C5154" w:rsidRDefault="001C5154" w:rsidP="001C5154">
      <w:pPr>
        <w:numPr>
          <w:ilvl w:val="0"/>
          <w:numId w:val="1"/>
        </w:numPr>
        <w:tabs>
          <w:tab w:val="left" w:pos="720"/>
        </w:tabs>
        <w:snapToGrid w:val="0"/>
        <w:spacing w:before="180" w:line="480" w:lineRule="exact"/>
        <w:ind w:left="720"/>
        <w:rPr>
          <w:rFonts w:eastAsia="標楷體"/>
          <w:szCs w:val="24"/>
        </w:rPr>
      </w:pPr>
      <w:r>
        <w:rPr>
          <w:rFonts w:eastAsia="標楷體"/>
          <w:szCs w:val="24"/>
        </w:rPr>
        <w:t>校際選課之授課、考試及成績等，依開課學校之學則及相關規定辦理。</w:t>
      </w:r>
    </w:p>
    <w:p w:rsidR="001C5154" w:rsidRDefault="001C5154" w:rsidP="001C5154">
      <w:pPr>
        <w:numPr>
          <w:ilvl w:val="0"/>
          <w:numId w:val="1"/>
        </w:numPr>
        <w:tabs>
          <w:tab w:val="left" w:pos="720"/>
        </w:tabs>
        <w:snapToGrid w:val="0"/>
        <w:spacing w:before="180" w:line="480" w:lineRule="exact"/>
        <w:ind w:left="720"/>
        <w:rPr>
          <w:rFonts w:eastAsia="標楷體"/>
          <w:szCs w:val="24"/>
        </w:rPr>
      </w:pPr>
      <w:r>
        <w:rPr>
          <w:rFonts w:eastAsia="標楷體"/>
          <w:szCs w:val="24"/>
        </w:rPr>
        <w:t>簽署本協議即代表成為夥伴學校，本協議書自中華民國</w:t>
      </w:r>
      <w:r>
        <w:rPr>
          <w:rFonts w:eastAsia="標楷體"/>
          <w:szCs w:val="24"/>
        </w:rPr>
        <w:t>11</w:t>
      </w:r>
      <w:r w:rsidR="003776B6">
        <w:rPr>
          <w:rFonts w:eastAsia="標楷體" w:hint="eastAsia"/>
          <w:szCs w:val="24"/>
        </w:rPr>
        <w:t>2</w:t>
      </w:r>
      <w:r>
        <w:rPr>
          <w:rFonts w:eastAsia="標楷體"/>
          <w:szCs w:val="24"/>
        </w:rPr>
        <w:t>年</w:t>
      </w:r>
      <w:r>
        <w:rPr>
          <w:rFonts w:eastAsia="標楷體"/>
          <w:szCs w:val="24"/>
        </w:rPr>
        <w:t>1</w:t>
      </w:r>
      <w:r>
        <w:rPr>
          <w:rFonts w:eastAsia="標楷體"/>
          <w:szCs w:val="24"/>
        </w:rPr>
        <w:t>月</w:t>
      </w:r>
      <w:r>
        <w:rPr>
          <w:rFonts w:eastAsia="標楷體"/>
          <w:szCs w:val="24"/>
        </w:rPr>
        <w:t>1</w:t>
      </w:r>
      <w:r>
        <w:rPr>
          <w:rFonts w:eastAsia="標楷體"/>
          <w:szCs w:val="24"/>
        </w:rPr>
        <w:t>日起生效，期限</w:t>
      </w:r>
      <w:r>
        <w:rPr>
          <w:rFonts w:eastAsia="標楷體"/>
          <w:szCs w:val="24"/>
        </w:rPr>
        <w:t>1</w:t>
      </w:r>
      <w:r>
        <w:rPr>
          <w:rFonts w:eastAsia="標楷體"/>
          <w:szCs w:val="24"/>
        </w:rPr>
        <w:t>年。期滿前，若協議之任</w:t>
      </w:r>
      <w:proofErr w:type="gramStart"/>
      <w:r>
        <w:rPr>
          <w:rFonts w:eastAsia="標楷體"/>
          <w:szCs w:val="24"/>
        </w:rPr>
        <w:t>一</w:t>
      </w:r>
      <w:proofErr w:type="gramEnd"/>
      <w:r>
        <w:rPr>
          <w:rFonts w:eastAsia="標楷體"/>
          <w:szCs w:val="24"/>
        </w:rPr>
        <w:t>簽署學校於當年度全國夏季學院選課前以書面</w:t>
      </w:r>
      <w:r w:rsidR="00B92909">
        <w:rPr>
          <w:rFonts w:eastAsia="標楷體" w:hint="eastAsia"/>
          <w:szCs w:val="24"/>
        </w:rPr>
        <w:t>函文</w:t>
      </w:r>
      <w:r>
        <w:rPr>
          <w:rFonts w:eastAsia="標楷體"/>
          <w:szCs w:val="24"/>
        </w:rPr>
        <w:t>提出終止協議，該校於終止協議寄達本單位時退出本協議；若於當年度選課後提出終止協議者，該校自次年度起退出本協議。</w:t>
      </w:r>
    </w:p>
    <w:p w:rsidR="001C5154" w:rsidRDefault="001C5154" w:rsidP="001C5154">
      <w:pPr>
        <w:numPr>
          <w:ilvl w:val="0"/>
          <w:numId w:val="1"/>
        </w:numPr>
        <w:tabs>
          <w:tab w:val="left" w:pos="720"/>
        </w:tabs>
        <w:snapToGrid w:val="0"/>
        <w:spacing w:before="180" w:line="480" w:lineRule="exact"/>
        <w:ind w:left="720"/>
        <w:rPr>
          <w:rFonts w:eastAsia="標楷體"/>
          <w:szCs w:val="24"/>
        </w:rPr>
      </w:pPr>
      <w:r>
        <w:rPr>
          <w:rFonts w:eastAsia="標楷體"/>
          <w:szCs w:val="24"/>
        </w:rPr>
        <w:t>夥伴學校學生修習全國夏季學院通識課程每學分</w:t>
      </w:r>
      <w:r>
        <w:rPr>
          <w:rFonts w:eastAsia="標楷體"/>
          <w:szCs w:val="24"/>
        </w:rPr>
        <w:t>700</w:t>
      </w:r>
      <w:r>
        <w:rPr>
          <w:rFonts w:eastAsia="標楷體"/>
          <w:szCs w:val="24"/>
        </w:rPr>
        <w:t>元；非夥伴學校學生修習全國夏季學院通識課程每學分</w:t>
      </w:r>
      <w:r>
        <w:rPr>
          <w:rFonts w:eastAsia="標楷體"/>
          <w:szCs w:val="24"/>
        </w:rPr>
        <w:t>1,750</w:t>
      </w:r>
      <w:r>
        <w:rPr>
          <w:rFonts w:eastAsia="標楷體"/>
          <w:szCs w:val="24"/>
        </w:rPr>
        <w:t>元。</w:t>
      </w:r>
    </w:p>
    <w:p w:rsidR="001C5154" w:rsidRDefault="001C5154" w:rsidP="001C5154">
      <w:pPr>
        <w:spacing w:before="360" w:line="360" w:lineRule="auto"/>
        <w:ind w:left="5102"/>
        <w:rPr>
          <w:rFonts w:eastAsia="標楷體"/>
          <w:color w:val="000000"/>
          <w:szCs w:val="24"/>
        </w:rPr>
      </w:pPr>
    </w:p>
    <w:p w:rsidR="001C5154" w:rsidRDefault="001C5154" w:rsidP="001C5154">
      <w:pPr>
        <w:spacing w:line="360" w:lineRule="auto"/>
        <w:ind w:left="4536"/>
        <w:rPr>
          <w:rFonts w:eastAsia="標楷體"/>
          <w:color w:val="000000"/>
          <w:szCs w:val="24"/>
          <w:u w:val="single"/>
        </w:rPr>
      </w:pPr>
      <w:r>
        <w:rPr>
          <w:rFonts w:eastAsia="標楷體"/>
          <w:color w:val="000000"/>
          <w:szCs w:val="24"/>
        </w:rPr>
        <w:t>簽署學校：</w:t>
      </w:r>
      <w:r w:rsidR="00502180">
        <w:rPr>
          <w:rFonts w:eastAsia="標楷體" w:hint="eastAsia"/>
          <w:color w:val="000000"/>
          <w:szCs w:val="24"/>
        </w:rPr>
        <w:t>國立東華大學</w:t>
      </w:r>
    </w:p>
    <w:p w:rsidR="00B92909" w:rsidRDefault="00B92909" w:rsidP="001C5154">
      <w:pPr>
        <w:spacing w:line="360" w:lineRule="auto"/>
        <w:ind w:left="4536"/>
      </w:pPr>
      <w:r>
        <w:rPr>
          <w:rFonts w:eastAsia="標楷體"/>
          <w:color w:val="000000"/>
          <w:szCs w:val="24"/>
        </w:rPr>
        <w:t>簽署單位：</w:t>
      </w:r>
      <w:r w:rsidR="00502180">
        <w:rPr>
          <w:rFonts w:eastAsia="標楷體" w:hint="eastAsia"/>
          <w:color w:val="000000"/>
          <w:szCs w:val="24"/>
        </w:rPr>
        <w:t>通識教育中心</w:t>
      </w:r>
      <w:r>
        <w:rPr>
          <w:rFonts w:eastAsia="標楷體" w:hint="eastAsia"/>
          <w:color w:val="000000"/>
          <w:szCs w:val="24"/>
        </w:rPr>
        <w:t xml:space="preserve">           </w:t>
      </w:r>
    </w:p>
    <w:p w:rsidR="001C5154" w:rsidRDefault="001C5154" w:rsidP="001C5154">
      <w:pPr>
        <w:spacing w:line="360" w:lineRule="auto"/>
        <w:ind w:left="4536"/>
      </w:pPr>
      <w:r>
        <w:rPr>
          <w:rFonts w:eastAsia="標楷體"/>
          <w:color w:val="000000"/>
          <w:szCs w:val="24"/>
        </w:rPr>
        <w:t>代表人</w:t>
      </w:r>
      <w:r>
        <w:rPr>
          <w:rFonts w:eastAsia="標楷體"/>
          <w:color w:val="000000"/>
          <w:szCs w:val="24"/>
        </w:rPr>
        <w:t>/</w:t>
      </w:r>
      <w:r>
        <w:rPr>
          <w:rFonts w:eastAsia="標楷體"/>
          <w:color w:val="000000"/>
          <w:szCs w:val="24"/>
        </w:rPr>
        <w:t>職稱：</w:t>
      </w:r>
      <w:r w:rsidR="00B92909">
        <w:rPr>
          <w:rFonts w:eastAsia="標楷體" w:hint="eastAsia"/>
          <w:color w:val="000000"/>
          <w:szCs w:val="24"/>
        </w:rPr>
        <w:t xml:space="preserve">                       </w:t>
      </w:r>
      <w:r>
        <w:rPr>
          <w:rFonts w:eastAsia="標楷體"/>
          <w:color w:val="000000"/>
          <w:szCs w:val="24"/>
        </w:rPr>
        <w:t xml:space="preserve"> (</w:t>
      </w:r>
      <w:r>
        <w:rPr>
          <w:rFonts w:eastAsia="標楷體"/>
          <w:color w:val="000000"/>
          <w:szCs w:val="24"/>
        </w:rPr>
        <w:t>簽章</w:t>
      </w:r>
      <w:r>
        <w:rPr>
          <w:rFonts w:eastAsia="標楷體"/>
          <w:color w:val="000000"/>
          <w:szCs w:val="24"/>
        </w:rPr>
        <w:t>)</w:t>
      </w:r>
    </w:p>
    <w:p w:rsidR="00DC6EBD" w:rsidRDefault="001C5154" w:rsidP="001C5154">
      <w:pPr>
        <w:snapToGrid w:val="0"/>
        <w:spacing w:before="180" w:line="360" w:lineRule="auto"/>
        <w:ind w:left="4536"/>
      </w:pPr>
      <w:r>
        <w:rPr>
          <w:rFonts w:eastAsia="標楷體"/>
          <w:color w:val="000000"/>
          <w:szCs w:val="24"/>
        </w:rPr>
        <w:t>簽署日期：</w:t>
      </w:r>
      <w:r w:rsidR="00502180">
        <w:rPr>
          <w:rFonts w:eastAsia="標楷體" w:hint="eastAsia"/>
          <w:color w:val="000000"/>
          <w:szCs w:val="24"/>
        </w:rPr>
        <w:t xml:space="preserve"> </w:t>
      </w:r>
      <w:r w:rsidR="00502180">
        <w:rPr>
          <w:rFonts w:eastAsia="標楷體"/>
          <w:color w:val="000000"/>
          <w:szCs w:val="24"/>
        </w:rPr>
        <w:t xml:space="preserve">  111</w:t>
      </w:r>
      <w:r>
        <w:rPr>
          <w:rFonts w:eastAsia="標楷體"/>
          <w:color w:val="000000"/>
          <w:szCs w:val="24"/>
        </w:rPr>
        <w:t>年</w:t>
      </w:r>
      <w:r w:rsidR="00502180">
        <w:rPr>
          <w:rFonts w:eastAsia="標楷體" w:hint="eastAsia"/>
          <w:color w:val="000000"/>
          <w:szCs w:val="24"/>
        </w:rPr>
        <w:t xml:space="preserve"> </w:t>
      </w:r>
      <w:r w:rsidR="00502180">
        <w:rPr>
          <w:rFonts w:eastAsia="標楷體"/>
          <w:color w:val="000000"/>
          <w:szCs w:val="24"/>
        </w:rPr>
        <w:t xml:space="preserve"> 11</w:t>
      </w:r>
      <w:r>
        <w:rPr>
          <w:rFonts w:eastAsia="標楷體"/>
          <w:color w:val="000000"/>
          <w:szCs w:val="24"/>
        </w:rPr>
        <w:t>月</w:t>
      </w:r>
      <w:r w:rsidR="00502180">
        <w:rPr>
          <w:rFonts w:eastAsia="標楷體" w:hint="eastAsia"/>
          <w:color w:val="000000"/>
          <w:szCs w:val="24"/>
        </w:rPr>
        <w:t xml:space="preserve"> </w:t>
      </w:r>
      <w:r w:rsidR="00502180">
        <w:rPr>
          <w:rFonts w:eastAsia="標楷體"/>
          <w:color w:val="000000"/>
          <w:szCs w:val="24"/>
        </w:rPr>
        <w:t xml:space="preserve"> 28</w:t>
      </w:r>
      <w:r>
        <w:rPr>
          <w:rFonts w:eastAsia="標楷體"/>
          <w:color w:val="000000"/>
          <w:szCs w:val="24"/>
        </w:rPr>
        <w:t>日</w:t>
      </w:r>
      <w:bookmarkStart w:id="0" w:name="_GoBack"/>
      <w:bookmarkEnd w:id="0"/>
    </w:p>
    <w:sectPr w:rsidR="00DC6EBD">
      <w:pgSz w:w="11906" w:h="16838"/>
      <w:pgMar w:top="1021" w:right="1134" w:bottom="1021" w:left="1134" w:header="720" w:footer="720" w:gutter="0"/>
      <w:pgNumType w:start="1"/>
      <w:cols w:space="72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C5F" w:rsidRDefault="006A0C5F" w:rsidP="00B64691">
      <w:r>
        <w:separator/>
      </w:r>
    </w:p>
  </w:endnote>
  <w:endnote w:type="continuationSeparator" w:id="0">
    <w:p w:rsidR="006A0C5F" w:rsidRDefault="006A0C5F" w:rsidP="00B6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C5F" w:rsidRDefault="006A0C5F" w:rsidP="00B64691">
      <w:r>
        <w:separator/>
      </w:r>
    </w:p>
  </w:footnote>
  <w:footnote w:type="continuationSeparator" w:id="0">
    <w:p w:rsidR="006A0C5F" w:rsidRDefault="006A0C5F" w:rsidP="00B64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56AF"/>
    <w:multiLevelType w:val="multilevel"/>
    <w:tmpl w:val="5D7E0A46"/>
    <w:lvl w:ilvl="0">
      <w:start w:val="1"/>
      <w:numFmt w:val="taiwaneseCountingThousand"/>
      <w:lvlText w:val="%1、"/>
      <w:lvlJc w:val="left"/>
      <w:pPr>
        <w:ind w:left="960" w:hanging="720"/>
      </w:pPr>
      <w:rPr>
        <w:lang w:val="en-US"/>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54"/>
    <w:rsid w:val="00152E28"/>
    <w:rsid w:val="001C5154"/>
    <w:rsid w:val="003776B6"/>
    <w:rsid w:val="00502180"/>
    <w:rsid w:val="006A0C5F"/>
    <w:rsid w:val="00897F86"/>
    <w:rsid w:val="009068E1"/>
    <w:rsid w:val="00B64691"/>
    <w:rsid w:val="00B92909"/>
    <w:rsid w:val="00D72EC5"/>
    <w:rsid w:val="00FA6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FA9C8"/>
  <w15:chartTrackingRefBased/>
  <w15:docId w15:val="{2D1F5617-1CE8-4982-AB00-0E06653D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154"/>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691"/>
    <w:pPr>
      <w:tabs>
        <w:tab w:val="center" w:pos="4153"/>
        <w:tab w:val="right" w:pos="8306"/>
      </w:tabs>
      <w:snapToGrid w:val="0"/>
    </w:pPr>
    <w:rPr>
      <w:sz w:val="20"/>
    </w:rPr>
  </w:style>
  <w:style w:type="character" w:customStyle="1" w:styleId="a4">
    <w:name w:val="頁首 字元"/>
    <w:basedOn w:val="a0"/>
    <w:link w:val="a3"/>
    <w:uiPriority w:val="99"/>
    <w:rsid w:val="00B64691"/>
    <w:rPr>
      <w:rFonts w:ascii="Times New Roman" w:eastAsia="新細明體" w:hAnsi="Times New Roman" w:cs="Times New Roman"/>
      <w:kern w:val="3"/>
      <w:sz w:val="20"/>
      <w:szCs w:val="20"/>
    </w:rPr>
  </w:style>
  <w:style w:type="paragraph" w:styleId="a5">
    <w:name w:val="footer"/>
    <w:basedOn w:val="a"/>
    <w:link w:val="a6"/>
    <w:uiPriority w:val="99"/>
    <w:unhideWhenUsed/>
    <w:rsid w:val="00B64691"/>
    <w:pPr>
      <w:tabs>
        <w:tab w:val="center" w:pos="4153"/>
        <w:tab w:val="right" w:pos="8306"/>
      </w:tabs>
      <w:snapToGrid w:val="0"/>
    </w:pPr>
    <w:rPr>
      <w:sz w:val="20"/>
    </w:rPr>
  </w:style>
  <w:style w:type="character" w:customStyle="1" w:styleId="a6">
    <w:name w:val="頁尾 字元"/>
    <w:basedOn w:val="a0"/>
    <w:link w:val="a5"/>
    <w:uiPriority w:val="99"/>
    <w:rsid w:val="00B64691"/>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2022-11-28T01:14:00Z</cp:lastPrinted>
  <dcterms:created xsi:type="dcterms:W3CDTF">2022-11-23T06:16:00Z</dcterms:created>
  <dcterms:modified xsi:type="dcterms:W3CDTF">2022-11-28T01:14:00Z</dcterms:modified>
</cp:coreProperties>
</file>